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05D7" w14:textId="77777777" w:rsidR="00753258" w:rsidRDefault="00753258" w:rsidP="00DC4B19">
      <w:pPr>
        <w:rPr>
          <w:b/>
          <w:bCs/>
        </w:rPr>
      </w:pPr>
    </w:p>
    <w:p w14:paraId="439717AD" w14:textId="147C522F" w:rsidR="00753258" w:rsidRPr="00B316BB" w:rsidRDefault="003F69D6" w:rsidP="00DC4B19">
      <w:pPr>
        <w:rPr>
          <w:b/>
          <w:bCs/>
          <w:color w:val="7F7F7F" w:themeColor="text1" w:themeTint="80"/>
        </w:rPr>
      </w:pPr>
      <w:r w:rsidRPr="00B316BB">
        <w:rPr>
          <w:b/>
          <w:bCs/>
          <w:color w:val="7F7F7F" w:themeColor="text1" w:themeTint="80"/>
        </w:rPr>
        <w:t>Some inspiration to get you thinking about the wider Utilities Industry</w:t>
      </w:r>
      <w:r w:rsidR="00131BB0" w:rsidRPr="00B316BB">
        <w:rPr>
          <w:b/>
          <w:bCs/>
          <w:color w:val="7F7F7F" w:themeColor="text1" w:themeTint="80"/>
        </w:rPr>
        <w:t xml:space="preserve"> ahead of Module 6.  </w:t>
      </w:r>
      <w:r w:rsidR="00B316BB" w:rsidRPr="00B316BB">
        <w:rPr>
          <w:b/>
          <w:bCs/>
          <w:color w:val="7F7F7F" w:themeColor="text1" w:themeTint="80"/>
        </w:rPr>
        <w:t xml:space="preserve">Created </w:t>
      </w:r>
      <w:r w:rsidRPr="00B316BB">
        <w:rPr>
          <w:b/>
          <w:bCs/>
          <w:color w:val="7F7F7F" w:themeColor="text1" w:themeTint="80"/>
        </w:rPr>
        <w:t>using AI</w:t>
      </w:r>
      <w:r w:rsidR="00B316BB" w:rsidRPr="00B316BB">
        <w:rPr>
          <w:b/>
          <w:bCs/>
          <w:color w:val="7F7F7F" w:themeColor="text1" w:themeTint="80"/>
        </w:rPr>
        <w:t xml:space="preserve">, shaped to the SWOT framework to </w:t>
      </w:r>
      <w:r w:rsidR="00CB5687" w:rsidRPr="00B316BB">
        <w:rPr>
          <w:b/>
          <w:bCs/>
          <w:color w:val="7F7F7F" w:themeColor="text1" w:themeTint="80"/>
        </w:rPr>
        <w:t xml:space="preserve">summarise key trends and data / reference points to keep you </w:t>
      </w:r>
      <w:r w:rsidR="005474CF" w:rsidRPr="00B316BB">
        <w:rPr>
          <w:b/>
          <w:bCs/>
          <w:color w:val="7F7F7F" w:themeColor="text1" w:themeTint="80"/>
        </w:rPr>
        <w:t>up to date.</w:t>
      </w:r>
    </w:p>
    <w:p w14:paraId="2ECD6819" w14:textId="2BDFCBB8" w:rsidR="00DC4B19" w:rsidRPr="009C1881" w:rsidRDefault="00DC4B19" w:rsidP="00DC4B19">
      <w:pPr>
        <w:rPr>
          <w:b/>
          <w:bCs/>
          <w:color w:val="7F7F7F" w:themeColor="text1" w:themeTint="80"/>
          <w:sz w:val="28"/>
          <w:szCs w:val="28"/>
        </w:rPr>
      </w:pPr>
      <w:r w:rsidRPr="009C1881">
        <w:rPr>
          <w:b/>
          <w:bCs/>
          <w:color w:val="7F7F7F" w:themeColor="text1" w:themeTint="80"/>
          <w:sz w:val="28"/>
          <w:szCs w:val="28"/>
        </w:rPr>
        <w:t>SWOT Analysis: The Evolving UK Utilities Landscape (2025–2035)</w:t>
      </w:r>
    </w:p>
    <w:p w14:paraId="191F4C3E" w14:textId="77777777" w:rsidR="00DC4B19" w:rsidRPr="00B316BB" w:rsidRDefault="00DC4B19" w:rsidP="00DC4B19">
      <w:pPr>
        <w:rPr>
          <w:color w:val="7F7F7F" w:themeColor="text1" w:themeTint="80"/>
        </w:rPr>
      </w:pPr>
      <w:r w:rsidRPr="00B316BB">
        <w:rPr>
          <w:b/>
          <w:bCs/>
          <w:color w:val="7F7F7F" w:themeColor="text1" w:themeTint="80"/>
        </w:rPr>
        <w:t>Sector Overview:</w:t>
      </w:r>
      <w:r w:rsidRPr="00B316BB">
        <w:rPr>
          <w:color w:val="7F7F7F" w:themeColor="text1" w:themeTint="80"/>
        </w:rPr>
        <w:br/>
        <w:t xml:space="preserve">The UK utilities sector is undergoing significant transformation driven by digital innovation, sustainability mandates, regulatory shifts, and evolving customer expectations. The push towards net-zero </w:t>
      </w:r>
      <w:proofErr w:type="gramStart"/>
      <w:r w:rsidRPr="00B316BB">
        <w:rPr>
          <w:color w:val="7F7F7F" w:themeColor="text1" w:themeTint="80"/>
        </w:rPr>
        <w:t>carbon</w:t>
      </w:r>
      <w:proofErr w:type="gramEnd"/>
      <w:r w:rsidRPr="00B316BB">
        <w:rPr>
          <w:color w:val="7F7F7F" w:themeColor="text1" w:themeTint="80"/>
        </w:rPr>
        <w:t xml:space="preserve"> emissions, decentralised energy models, and advanced data-driven services is reshaping industry dynamics. Water and gas utilities face unique challenges and opportunities, including sustainability concerns, infrastructure modernisation, and shifting consumption patterns. Utilities must navigate these changes while ensuring resilience, affordability, and efficiency.</w:t>
      </w:r>
    </w:p>
    <w:p w14:paraId="60BCB319" w14:textId="77777777" w:rsidR="00DC4B19" w:rsidRPr="00B316BB" w:rsidRDefault="00000000" w:rsidP="00DC4B19">
      <w:pPr>
        <w:rPr>
          <w:color w:val="7F7F7F" w:themeColor="text1" w:themeTint="80"/>
        </w:rPr>
      </w:pPr>
      <w:r w:rsidRPr="00B316BB">
        <w:rPr>
          <w:color w:val="7F7F7F" w:themeColor="text1" w:themeTint="80"/>
        </w:rPr>
        <w:pict w14:anchorId="79C286D1">
          <v:rect id="_x0000_i1025" style="width:0;height:1.5pt" o:hralign="center" o:hrstd="t" o:hr="t" fillcolor="#a0a0a0" stroked="f"/>
        </w:pict>
      </w:r>
    </w:p>
    <w:p w14:paraId="422FB859" w14:textId="77777777" w:rsidR="00DC4B19" w:rsidRPr="00B316BB" w:rsidRDefault="00DC4B19" w:rsidP="00DC4B19">
      <w:pPr>
        <w:rPr>
          <w:b/>
          <w:bCs/>
          <w:color w:val="7F7F7F" w:themeColor="text1" w:themeTint="80"/>
        </w:rPr>
      </w:pPr>
      <w:r w:rsidRPr="00B316BB">
        <w:rPr>
          <w:b/>
          <w:bCs/>
          <w:color w:val="7F7F7F" w:themeColor="text1" w:themeTint="80"/>
        </w:rPr>
        <w:t>Strengths:</w:t>
      </w:r>
    </w:p>
    <w:p w14:paraId="3BC0083F" w14:textId="77777777" w:rsidR="00DC4B19" w:rsidRPr="00B316BB" w:rsidRDefault="00DC4B19" w:rsidP="00DC4B19">
      <w:pPr>
        <w:numPr>
          <w:ilvl w:val="0"/>
          <w:numId w:val="1"/>
        </w:numPr>
        <w:rPr>
          <w:color w:val="7F7F7F" w:themeColor="text1" w:themeTint="80"/>
        </w:rPr>
      </w:pPr>
      <w:r w:rsidRPr="00B316BB">
        <w:rPr>
          <w:b/>
          <w:bCs/>
          <w:color w:val="7F7F7F" w:themeColor="text1" w:themeTint="80"/>
        </w:rPr>
        <w:t>Government Commitment to Net-Zero:</w:t>
      </w:r>
      <w:r w:rsidRPr="00B316BB">
        <w:rPr>
          <w:color w:val="7F7F7F" w:themeColor="text1" w:themeTint="80"/>
        </w:rPr>
        <w:t xml:space="preserve"> Strong policy support for renewable energy, electrification, and decarbonisation enhances long-term industry growth, including investment in hydrogen as a gas alternative.</w:t>
      </w:r>
    </w:p>
    <w:p w14:paraId="51093187" w14:textId="77777777" w:rsidR="00DC4B19" w:rsidRPr="00B316BB" w:rsidRDefault="00DC4B19" w:rsidP="00DC4B19">
      <w:pPr>
        <w:numPr>
          <w:ilvl w:val="0"/>
          <w:numId w:val="1"/>
        </w:numPr>
        <w:rPr>
          <w:color w:val="7F7F7F" w:themeColor="text1" w:themeTint="80"/>
        </w:rPr>
      </w:pPr>
      <w:r w:rsidRPr="00B316BB">
        <w:rPr>
          <w:b/>
          <w:bCs/>
          <w:color w:val="7F7F7F" w:themeColor="text1" w:themeTint="80"/>
        </w:rPr>
        <w:t>Technological Advancements:</w:t>
      </w:r>
      <w:r w:rsidRPr="00B316BB">
        <w:rPr>
          <w:color w:val="7F7F7F" w:themeColor="text1" w:themeTint="80"/>
        </w:rPr>
        <w:t xml:space="preserve"> Digital transformation (smart grids, AI-driven analytics, IoT, smart water meters) improves efficiency, asset management, and demand forecasting.</w:t>
      </w:r>
    </w:p>
    <w:p w14:paraId="68BDDD4F" w14:textId="77777777" w:rsidR="00DC4B19" w:rsidRPr="00B316BB" w:rsidRDefault="00DC4B19" w:rsidP="00DC4B19">
      <w:pPr>
        <w:numPr>
          <w:ilvl w:val="0"/>
          <w:numId w:val="1"/>
        </w:numPr>
        <w:rPr>
          <w:color w:val="7F7F7F" w:themeColor="text1" w:themeTint="80"/>
        </w:rPr>
      </w:pPr>
      <w:r w:rsidRPr="00B316BB">
        <w:rPr>
          <w:b/>
          <w:bCs/>
          <w:color w:val="7F7F7F" w:themeColor="text1" w:themeTint="80"/>
        </w:rPr>
        <w:t>Diversification of Energy Mix:</w:t>
      </w:r>
      <w:r w:rsidRPr="00B316BB">
        <w:rPr>
          <w:color w:val="7F7F7F" w:themeColor="text1" w:themeTint="80"/>
        </w:rPr>
        <w:t xml:space="preserve"> Increased reliance on renewables (wind, solar, hydrogen) enhances sustainability and energy security. Water utilities benefit from growing investment in water recycling and desalination.</w:t>
      </w:r>
    </w:p>
    <w:p w14:paraId="56E014A9" w14:textId="77777777" w:rsidR="00DC4B19" w:rsidRPr="00B316BB" w:rsidRDefault="00DC4B19" w:rsidP="00DC4B19">
      <w:pPr>
        <w:numPr>
          <w:ilvl w:val="0"/>
          <w:numId w:val="1"/>
        </w:numPr>
        <w:rPr>
          <w:color w:val="7F7F7F" w:themeColor="text1" w:themeTint="80"/>
        </w:rPr>
      </w:pPr>
      <w:r w:rsidRPr="00B316BB">
        <w:rPr>
          <w:b/>
          <w:bCs/>
          <w:color w:val="7F7F7F" w:themeColor="text1" w:themeTint="80"/>
        </w:rPr>
        <w:t>Customer-Centric Innovation:</w:t>
      </w:r>
      <w:r w:rsidRPr="00B316BB">
        <w:rPr>
          <w:color w:val="7F7F7F" w:themeColor="text1" w:themeTint="80"/>
        </w:rPr>
        <w:t xml:space="preserve"> Growing adoption of smart meters, dynamic pricing, and personalised energy and water solutions increases consumer engagement.</w:t>
      </w:r>
    </w:p>
    <w:p w14:paraId="6D8585FC" w14:textId="77777777" w:rsidR="00DC4B19" w:rsidRPr="00B316BB" w:rsidRDefault="00DC4B19" w:rsidP="00DC4B19">
      <w:pPr>
        <w:numPr>
          <w:ilvl w:val="0"/>
          <w:numId w:val="1"/>
        </w:numPr>
        <w:rPr>
          <w:color w:val="7F7F7F" w:themeColor="text1" w:themeTint="80"/>
        </w:rPr>
      </w:pPr>
      <w:r w:rsidRPr="00B316BB">
        <w:rPr>
          <w:b/>
          <w:bCs/>
          <w:color w:val="7F7F7F" w:themeColor="text1" w:themeTint="80"/>
        </w:rPr>
        <w:t>Regulatory Stability &amp; Incentives:</w:t>
      </w:r>
      <w:r w:rsidRPr="00B316BB">
        <w:rPr>
          <w:color w:val="7F7F7F" w:themeColor="text1" w:themeTint="80"/>
        </w:rPr>
        <w:t xml:space="preserve"> Ofgem, Ofwat, and government incentives encourage investment in green and innovative solutions across electricity, gas, and water utilities.</w:t>
      </w:r>
    </w:p>
    <w:p w14:paraId="367218A5" w14:textId="77777777" w:rsidR="00DC4B19" w:rsidRPr="00B316BB" w:rsidRDefault="00000000" w:rsidP="00DC4B19">
      <w:pPr>
        <w:rPr>
          <w:color w:val="7F7F7F" w:themeColor="text1" w:themeTint="80"/>
        </w:rPr>
      </w:pPr>
      <w:r w:rsidRPr="00B316BB">
        <w:rPr>
          <w:color w:val="7F7F7F" w:themeColor="text1" w:themeTint="80"/>
        </w:rPr>
        <w:pict w14:anchorId="36BB0B98">
          <v:rect id="_x0000_i1026" style="width:0;height:1.5pt" o:hralign="center" o:hrstd="t" o:hr="t" fillcolor="#a0a0a0" stroked="f"/>
        </w:pict>
      </w:r>
    </w:p>
    <w:p w14:paraId="522854C5" w14:textId="77777777" w:rsidR="00DC4B19" w:rsidRPr="00B316BB" w:rsidRDefault="00DC4B19" w:rsidP="00DC4B19">
      <w:pPr>
        <w:rPr>
          <w:b/>
          <w:bCs/>
          <w:color w:val="7F7F7F" w:themeColor="text1" w:themeTint="80"/>
        </w:rPr>
      </w:pPr>
      <w:r w:rsidRPr="00B316BB">
        <w:rPr>
          <w:b/>
          <w:bCs/>
          <w:color w:val="7F7F7F" w:themeColor="text1" w:themeTint="80"/>
        </w:rPr>
        <w:t>Weaknesses:</w:t>
      </w:r>
    </w:p>
    <w:p w14:paraId="7048F9CE" w14:textId="77777777" w:rsidR="00DC4B19" w:rsidRPr="00B316BB" w:rsidRDefault="00DC4B19" w:rsidP="00DC4B19">
      <w:pPr>
        <w:numPr>
          <w:ilvl w:val="0"/>
          <w:numId w:val="2"/>
        </w:numPr>
        <w:rPr>
          <w:color w:val="7F7F7F" w:themeColor="text1" w:themeTint="80"/>
        </w:rPr>
      </w:pPr>
      <w:r w:rsidRPr="00B316BB">
        <w:rPr>
          <w:b/>
          <w:bCs/>
          <w:color w:val="7F7F7F" w:themeColor="text1" w:themeTint="80"/>
        </w:rPr>
        <w:t>Aging Infrastructure:</w:t>
      </w:r>
      <w:r w:rsidRPr="00B316BB">
        <w:rPr>
          <w:color w:val="7F7F7F" w:themeColor="text1" w:themeTint="80"/>
        </w:rPr>
        <w:t xml:space="preserve"> Legacy grid and pipeline systems require costly upgrades to support decentralisation, electrification, and leak prevention in water and gas networks.</w:t>
      </w:r>
    </w:p>
    <w:p w14:paraId="3AA457C9" w14:textId="77777777" w:rsidR="00DC4B19" w:rsidRPr="00B316BB" w:rsidRDefault="00DC4B19" w:rsidP="00DC4B19">
      <w:pPr>
        <w:numPr>
          <w:ilvl w:val="0"/>
          <w:numId w:val="2"/>
        </w:numPr>
        <w:rPr>
          <w:color w:val="7F7F7F" w:themeColor="text1" w:themeTint="80"/>
        </w:rPr>
      </w:pPr>
      <w:r w:rsidRPr="00B316BB">
        <w:rPr>
          <w:b/>
          <w:bCs/>
          <w:color w:val="7F7F7F" w:themeColor="text1" w:themeTint="80"/>
        </w:rPr>
        <w:t>High Capital Expenditure:</w:t>
      </w:r>
      <w:r w:rsidRPr="00B316BB">
        <w:rPr>
          <w:color w:val="7F7F7F" w:themeColor="text1" w:themeTint="80"/>
        </w:rPr>
        <w:t xml:space="preserve"> Transitioning to sustainable energy sources and modernising water treatment facilities demands significant investment, with long ROI periods.</w:t>
      </w:r>
    </w:p>
    <w:p w14:paraId="4DC88EEA" w14:textId="77777777" w:rsidR="00DC4B19" w:rsidRPr="00B316BB" w:rsidRDefault="00DC4B19" w:rsidP="00DC4B19">
      <w:pPr>
        <w:numPr>
          <w:ilvl w:val="0"/>
          <w:numId w:val="2"/>
        </w:numPr>
        <w:rPr>
          <w:color w:val="7F7F7F" w:themeColor="text1" w:themeTint="80"/>
        </w:rPr>
      </w:pPr>
      <w:r w:rsidRPr="00B316BB">
        <w:rPr>
          <w:b/>
          <w:bCs/>
          <w:color w:val="7F7F7F" w:themeColor="text1" w:themeTint="80"/>
        </w:rPr>
        <w:lastRenderedPageBreak/>
        <w:t>Cybersecurity Risks:</w:t>
      </w:r>
      <w:r w:rsidRPr="00B316BB">
        <w:rPr>
          <w:color w:val="7F7F7F" w:themeColor="text1" w:themeTint="80"/>
        </w:rPr>
        <w:t xml:space="preserve"> Increased digitalisation exposes utilities to cyber threats and data privacy challenges, particularly in critical national infrastructure.</w:t>
      </w:r>
    </w:p>
    <w:p w14:paraId="221F7922" w14:textId="77777777" w:rsidR="00DC4B19" w:rsidRPr="00B316BB" w:rsidRDefault="00DC4B19" w:rsidP="00DC4B19">
      <w:pPr>
        <w:numPr>
          <w:ilvl w:val="0"/>
          <w:numId w:val="2"/>
        </w:numPr>
        <w:rPr>
          <w:color w:val="7F7F7F" w:themeColor="text1" w:themeTint="80"/>
        </w:rPr>
      </w:pPr>
      <w:r w:rsidRPr="00B316BB">
        <w:rPr>
          <w:b/>
          <w:bCs/>
          <w:color w:val="7F7F7F" w:themeColor="text1" w:themeTint="80"/>
        </w:rPr>
        <w:t>Regulatory Complexity:</w:t>
      </w:r>
      <w:r w:rsidRPr="00B316BB">
        <w:rPr>
          <w:color w:val="7F7F7F" w:themeColor="text1" w:themeTint="80"/>
        </w:rPr>
        <w:t xml:space="preserve"> Rapidly evolving policies and compliance requirements create uncertainty for business strategies, with additional scrutiny on water pollution and gas transition plans.</w:t>
      </w:r>
    </w:p>
    <w:p w14:paraId="2C76C3D3" w14:textId="77777777" w:rsidR="00DC4B19" w:rsidRPr="00B316BB" w:rsidRDefault="00DC4B19" w:rsidP="00DC4B19">
      <w:pPr>
        <w:numPr>
          <w:ilvl w:val="0"/>
          <w:numId w:val="2"/>
        </w:numPr>
        <w:rPr>
          <w:color w:val="7F7F7F" w:themeColor="text1" w:themeTint="80"/>
        </w:rPr>
      </w:pPr>
      <w:r w:rsidRPr="00B316BB">
        <w:rPr>
          <w:b/>
          <w:bCs/>
          <w:color w:val="7F7F7F" w:themeColor="text1" w:themeTint="80"/>
        </w:rPr>
        <w:t>Consumer Price Sensitivity:</w:t>
      </w:r>
      <w:r w:rsidRPr="00B316BB">
        <w:rPr>
          <w:color w:val="7F7F7F" w:themeColor="text1" w:themeTint="80"/>
        </w:rPr>
        <w:t xml:space="preserve"> Rising energy and water costs and affordability concerns may limit adoption of green solutions and smart infrastructure upgrades.</w:t>
      </w:r>
    </w:p>
    <w:p w14:paraId="63435183" w14:textId="77777777" w:rsidR="00DC4B19" w:rsidRPr="00B316BB" w:rsidRDefault="00000000" w:rsidP="00DC4B19">
      <w:pPr>
        <w:rPr>
          <w:color w:val="7F7F7F" w:themeColor="text1" w:themeTint="80"/>
        </w:rPr>
      </w:pPr>
      <w:r w:rsidRPr="00B316BB">
        <w:rPr>
          <w:color w:val="7F7F7F" w:themeColor="text1" w:themeTint="80"/>
        </w:rPr>
        <w:pict w14:anchorId="40B88FE0">
          <v:rect id="_x0000_i1027" style="width:0;height:1.5pt" o:hralign="center" o:hrstd="t" o:hr="t" fillcolor="#a0a0a0" stroked="f"/>
        </w:pict>
      </w:r>
    </w:p>
    <w:p w14:paraId="289B02F5" w14:textId="77777777" w:rsidR="00DC4B19" w:rsidRPr="00B316BB" w:rsidRDefault="00DC4B19" w:rsidP="00DC4B19">
      <w:pPr>
        <w:rPr>
          <w:b/>
          <w:bCs/>
          <w:color w:val="7F7F7F" w:themeColor="text1" w:themeTint="80"/>
        </w:rPr>
      </w:pPr>
      <w:r w:rsidRPr="00B316BB">
        <w:rPr>
          <w:b/>
          <w:bCs/>
          <w:color w:val="7F7F7F" w:themeColor="text1" w:themeTint="80"/>
        </w:rPr>
        <w:t>Opportunities:</w:t>
      </w:r>
    </w:p>
    <w:p w14:paraId="5DCD27DA" w14:textId="77777777" w:rsidR="00DC4B19" w:rsidRPr="00B316BB" w:rsidRDefault="00DC4B19" w:rsidP="00DC4B19">
      <w:pPr>
        <w:numPr>
          <w:ilvl w:val="0"/>
          <w:numId w:val="3"/>
        </w:numPr>
        <w:rPr>
          <w:color w:val="7F7F7F" w:themeColor="text1" w:themeTint="80"/>
        </w:rPr>
      </w:pPr>
      <w:r w:rsidRPr="00B316BB">
        <w:rPr>
          <w:b/>
          <w:bCs/>
          <w:color w:val="7F7F7F" w:themeColor="text1" w:themeTint="80"/>
        </w:rPr>
        <w:t>Energy Storage &amp; Smart Grids:</w:t>
      </w:r>
      <w:r w:rsidRPr="00B316BB">
        <w:rPr>
          <w:color w:val="7F7F7F" w:themeColor="text1" w:themeTint="80"/>
        </w:rPr>
        <w:t xml:space="preserve"> Growth in battery storage and AI-driven grids enables enhanced reliability and efficiency. Gas networks may transition to green hydrogen distribution.</w:t>
      </w:r>
    </w:p>
    <w:p w14:paraId="227EAE8A" w14:textId="77777777" w:rsidR="00DC4B19" w:rsidRPr="00B316BB" w:rsidRDefault="00DC4B19" w:rsidP="00DC4B19">
      <w:pPr>
        <w:numPr>
          <w:ilvl w:val="0"/>
          <w:numId w:val="3"/>
        </w:numPr>
        <w:rPr>
          <w:color w:val="7F7F7F" w:themeColor="text1" w:themeTint="80"/>
        </w:rPr>
      </w:pPr>
      <w:r w:rsidRPr="00B316BB">
        <w:rPr>
          <w:b/>
          <w:bCs/>
          <w:color w:val="7F7F7F" w:themeColor="text1" w:themeTint="80"/>
        </w:rPr>
        <w:t>Hydrogen Economy &amp; Gas Decarbonisation:</w:t>
      </w:r>
      <w:r w:rsidRPr="00B316BB">
        <w:rPr>
          <w:color w:val="7F7F7F" w:themeColor="text1" w:themeTint="80"/>
        </w:rPr>
        <w:t xml:space="preserve"> Expansion of green hydrogen and biomethane presents new revenue streams and decarbonisation pathways for gas utilities.</w:t>
      </w:r>
    </w:p>
    <w:p w14:paraId="70FA9D86" w14:textId="77777777" w:rsidR="00DC4B19" w:rsidRPr="00B316BB" w:rsidRDefault="00DC4B19" w:rsidP="00DC4B19">
      <w:pPr>
        <w:numPr>
          <w:ilvl w:val="0"/>
          <w:numId w:val="3"/>
        </w:numPr>
        <w:rPr>
          <w:color w:val="7F7F7F" w:themeColor="text1" w:themeTint="80"/>
        </w:rPr>
      </w:pPr>
      <w:r w:rsidRPr="00B316BB">
        <w:rPr>
          <w:b/>
          <w:bCs/>
          <w:color w:val="7F7F7F" w:themeColor="text1" w:themeTint="80"/>
        </w:rPr>
        <w:t>Electrification of Transport &amp; Heat:</w:t>
      </w:r>
      <w:r w:rsidRPr="00B316BB">
        <w:rPr>
          <w:color w:val="7F7F7F" w:themeColor="text1" w:themeTint="80"/>
        </w:rPr>
        <w:t xml:space="preserve"> Increased EV adoption and heat pump demand drive electricity consumption, while gas providers can innovate in hybrid heating solutions.</w:t>
      </w:r>
    </w:p>
    <w:p w14:paraId="597A2320" w14:textId="77777777" w:rsidR="00DC4B19" w:rsidRPr="00B316BB" w:rsidRDefault="00DC4B19" w:rsidP="00DC4B19">
      <w:pPr>
        <w:numPr>
          <w:ilvl w:val="0"/>
          <w:numId w:val="3"/>
        </w:numPr>
        <w:rPr>
          <w:color w:val="7F7F7F" w:themeColor="text1" w:themeTint="80"/>
        </w:rPr>
      </w:pPr>
      <w:r w:rsidRPr="00B316BB">
        <w:rPr>
          <w:b/>
          <w:bCs/>
          <w:color w:val="7F7F7F" w:themeColor="text1" w:themeTint="80"/>
        </w:rPr>
        <w:t>Decentralised &amp; Peer-to-Peer Energy Models:</w:t>
      </w:r>
      <w:r w:rsidRPr="00B316BB">
        <w:rPr>
          <w:color w:val="7F7F7F" w:themeColor="text1" w:themeTint="80"/>
        </w:rPr>
        <w:t xml:space="preserve"> Localised energy generation (solar, community wind) disrupts traditional supply models, while water utilities explore decentralised water treatment solutions.</w:t>
      </w:r>
    </w:p>
    <w:p w14:paraId="3DA26FCC" w14:textId="77777777" w:rsidR="00DC4B19" w:rsidRPr="00B316BB" w:rsidRDefault="00DC4B19" w:rsidP="00DC4B19">
      <w:pPr>
        <w:numPr>
          <w:ilvl w:val="0"/>
          <w:numId w:val="3"/>
        </w:numPr>
        <w:rPr>
          <w:color w:val="7F7F7F" w:themeColor="text1" w:themeTint="80"/>
        </w:rPr>
      </w:pPr>
      <w:r w:rsidRPr="00B316BB">
        <w:rPr>
          <w:b/>
          <w:bCs/>
          <w:color w:val="7F7F7F" w:themeColor="text1" w:themeTint="80"/>
        </w:rPr>
        <w:t>Data Monetisation &amp; AI:</w:t>
      </w:r>
      <w:r w:rsidRPr="00B316BB">
        <w:rPr>
          <w:color w:val="7F7F7F" w:themeColor="text1" w:themeTint="80"/>
        </w:rPr>
        <w:t xml:space="preserve"> Advanced analytics offer potential for predictive maintenance, demand forecasting, and new service models, benefiting both energy and water efficiency.</w:t>
      </w:r>
    </w:p>
    <w:p w14:paraId="1BA7B18A" w14:textId="77777777" w:rsidR="00DC4B19" w:rsidRPr="00B316BB" w:rsidRDefault="00DC4B19" w:rsidP="00DC4B19">
      <w:pPr>
        <w:numPr>
          <w:ilvl w:val="0"/>
          <w:numId w:val="3"/>
        </w:numPr>
        <w:rPr>
          <w:color w:val="7F7F7F" w:themeColor="text1" w:themeTint="80"/>
        </w:rPr>
      </w:pPr>
      <w:r w:rsidRPr="00B316BB">
        <w:rPr>
          <w:b/>
          <w:bCs/>
          <w:color w:val="7F7F7F" w:themeColor="text1" w:themeTint="80"/>
        </w:rPr>
        <w:t>Water Conservation &amp; Leak Prevention:</w:t>
      </w:r>
      <w:r w:rsidRPr="00B316BB">
        <w:rPr>
          <w:color w:val="7F7F7F" w:themeColor="text1" w:themeTint="80"/>
        </w:rPr>
        <w:t xml:space="preserve"> New technologies enable better water resource management, reducing waste and improving sustainability.</w:t>
      </w:r>
    </w:p>
    <w:p w14:paraId="0B52B91A" w14:textId="77777777" w:rsidR="00DC4B19" w:rsidRPr="00B316BB" w:rsidRDefault="00000000" w:rsidP="00DC4B19">
      <w:pPr>
        <w:rPr>
          <w:color w:val="7F7F7F" w:themeColor="text1" w:themeTint="80"/>
        </w:rPr>
      </w:pPr>
      <w:r w:rsidRPr="00B316BB">
        <w:rPr>
          <w:color w:val="7F7F7F" w:themeColor="text1" w:themeTint="80"/>
        </w:rPr>
        <w:pict w14:anchorId="03744D0F">
          <v:rect id="_x0000_i1028" style="width:0;height:1.5pt" o:hralign="center" o:hrstd="t" o:hr="t" fillcolor="#a0a0a0" stroked="f"/>
        </w:pict>
      </w:r>
    </w:p>
    <w:p w14:paraId="7F93D63C" w14:textId="77777777" w:rsidR="00DC4B19" w:rsidRPr="00B316BB" w:rsidRDefault="00DC4B19" w:rsidP="00DC4B19">
      <w:pPr>
        <w:rPr>
          <w:b/>
          <w:bCs/>
          <w:color w:val="7F7F7F" w:themeColor="text1" w:themeTint="80"/>
        </w:rPr>
      </w:pPr>
      <w:r w:rsidRPr="00B316BB">
        <w:rPr>
          <w:b/>
          <w:bCs/>
          <w:color w:val="7F7F7F" w:themeColor="text1" w:themeTint="80"/>
        </w:rPr>
        <w:t>Threats:</w:t>
      </w:r>
    </w:p>
    <w:p w14:paraId="658EBA0D" w14:textId="77777777" w:rsidR="00DC4B19" w:rsidRPr="00B316BB" w:rsidRDefault="00DC4B19" w:rsidP="00DC4B19">
      <w:pPr>
        <w:numPr>
          <w:ilvl w:val="0"/>
          <w:numId w:val="4"/>
        </w:numPr>
        <w:rPr>
          <w:color w:val="7F7F7F" w:themeColor="text1" w:themeTint="80"/>
        </w:rPr>
      </w:pPr>
      <w:r w:rsidRPr="00B316BB">
        <w:rPr>
          <w:b/>
          <w:bCs/>
          <w:color w:val="7F7F7F" w:themeColor="text1" w:themeTint="80"/>
        </w:rPr>
        <w:t>Economic &amp; Political Uncertainty:</w:t>
      </w:r>
      <w:r w:rsidRPr="00B316BB">
        <w:rPr>
          <w:color w:val="7F7F7F" w:themeColor="text1" w:themeTint="80"/>
        </w:rPr>
        <w:t xml:space="preserve"> Market volatility, inflation, and policy shifts impact investment and profitability in electricity, gas, and water sectors.</w:t>
      </w:r>
    </w:p>
    <w:p w14:paraId="2F84611C" w14:textId="77777777" w:rsidR="00DC4B19" w:rsidRPr="00B316BB" w:rsidRDefault="00DC4B19" w:rsidP="00DC4B19">
      <w:pPr>
        <w:numPr>
          <w:ilvl w:val="0"/>
          <w:numId w:val="4"/>
        </w:numPr>
        <w:rPr>
          <w:color w:val="7F7F7F" w:themeColor="text1" w:themeTint="80"/>
        </w:rPr>
      </w:pPr>
      <w:r w:rsidRPr="00B316BB">
        <w:rPr>
          <w:b/>
          <w:bCs/>
          <w:color w:val="7F7F7F" w:themeColor="text1" w:themeTint="80"/>
        </w:rPr>
        <w:t>Energy &amp; Water Supply Chain Risks:</w:t>
      </w:r>
      <w:r w:rsidRPr="00B316BB">
        <w:rPr>
          <w:color w:val="7F7F7F" w:themeColor="text1" w:themeTint="80"/>
        </w:rPr>
        <w:t xml:space="preserve"> Global reliance on critical materials (e.g., lithium, rare earth metals) and water shortages could disrupt supply chains.</w:t>
      </w:r>
    </w:p>
    <w:p w14:paraId="048E4797" w14:textId="77777777" w:rsidR="00DC4B19" w:rsidRPr="00B316BB" w:rsidRDefault="00DC4B19" w:rsidP="00DC4B19">
      <w:pPr>
        <w:numPr>
          <w:ilvl w:val="0"/>
          <w:numId w:val="4"/>
        </w:numPr>
        <w:rPr>
          <w:color w:val="7F7F7F" w:themeColor="text1" w:themeTint="80"/>
        </w:rPr>
      </w:pPr>
      <w:r w:rsidRPr="00B316BB">
        <w:rPr>
          <w:b/>
          <w:bCs/>
          <w:color w:val="7F7F7F" w:themeColor="text1" w:themeTint="80"/>
        </w:rPr>
        <w:t>Competition from New Entrants:</w:t>
      </w:r>
      <w:r w:rsidRPr="00B316BB">
        <w:rPr>
          <w:color w:val="7F7F7F" w:themeColor="text1" w:themeTint="80"/>
        </w:rPr>
        <w:t xml:space="preserve"> Tech firms and fintech companies are innovating in the utilities space, disrupting traditional players, including digital water management platforms.</w:t>
      </w:r>
    </w:p>
    <w:p w14:paraId="615D2C38" w14:textId="77777777" w:rsidR="00DC4B19" w:rsidRPr="00B316BB" w:rsidRDefault="00DC4B19" w:rsidP="00DC4B19">
      <w:pPr>
        <w:numPr>
          <w:ilvl w:val="0"/>
          <w:numId w:val="4"/>
        </w:numPr>
        <w:rPr>
          <w:color w:val="7F7F7F" w:themeColor="text1" w:themeTint="80"/>
        </w:rPr>
      </w:pPr>
      <w:r w:rsidRPr="00B316BB">
        <w:rPr>
          <w:b/>
          <w:bCs/>
          <w:color w:val="7F7F7F" w:themeColor="text1" w:themeTint="80"/>
        </w:rPr>
        <w:lastRenderedPageBreak/>
        <w:t>Extreme Weather Events:</w:t>
      </w:r>
      <w:r w:rsidRPr="00B316BB">
        <w:rPr>
          <w:color w:val="7F7F7F" w:themeColor="text1" w:themeTint="80"/>
        </w:rPr>
        <w:t xml:space="preserve"> Climate change increases the risk of infrastructure damage, flooding, droughts, and operational disruption in energy and water sectors.</w:t>
      </w:r>
    </w:p>
    <w:p w14:paraId="4E763B4E" w14:textId="77777777" w:rsidR="00DC4B19" w:rsidRPr="00B316BB" w:rsidRDefault="00DC4B19" w:rsidP="00DC4B19">
      <w:pPr>
        <w:numPr>
          <w:ilvl w:val="0"/>
          <w:numId w:val="4"/>
        </w:numPr>
        <w:rPr>
          <w:color w:val="7F7F7F" w:themeColor="text1" w:themeTint="80"/>
        </w:rPr>
      </w:pPr>
      <w:r w:rsidRPr="00B316BB">
        <w:rPr>
          <w:b/>
          <w:bCs/>
          <w:color w:val="7F7F7F" w:themeColor="text1" w:themeTint="80"/>
        </w:rPr>
        <w:t>Public &amp; Regulatory Scrutiny:</w:t>
      </w:r>
      <w:r w:rsidRPr="00B316BB">
        <w:rPr>
          <w:color w:val="7F7F7F" w:themeColor="text1" w:themeTint="80"/>
        </w:rPr>
        <w:t xml:space="preserve"> Increased expectations for fair pricing, green commitments, and corporate responsibility create reputational and compliance risks, particularly in wastewater management and gas emissions.</w:t>
      </w:r>
    </w:p>
    <w:p w14:paraId="28CE0CCF" w14:textId="77777777" w:rsidR="00DC4B19" w:rsidRPr="00B316BB" w:rsidRDefault="00000000" w:rsidP="00DC4B19">
      <w:pPr>
        <w:rPr>
          <w:color w:val="7F7F7F" w:themeColor="text1" w:themeTint="80"/>
        </w:rPr>
      </w:pPr>
      <w:r w:rsidRPr="00B316BB">
        <w:rPr>
          <w:color w:val="7F7F7F" w:themeColor="text1" w:themeTint="80"/>
        </w:rPr>
        <w:pict w14:anchorId="1FBCF345">
          <v:rect id="_x0000_i1029" style="width:0;height:1.5pt" o:hralign="center" o:hrstd="t" o:hr="t" fillcolor="#a0a0a0" stroked="f"/>
        </w:pict>
      </w:r>
    </w:p>
    <w:p w14:paraId="03CE2324" w14:textId="77777777" w:rsidR="00DC4B19" w:rsidRPr="00B316BB" w:rsidRDefault="00DC4B19" w:rsidP="00DC4B19">
      <w:pPr>
        <w:rPr>
          <w:b/>
          <w:bCs/>
          <w:color w:val="7F7F7F" w:themeColor="text1" w:themeTint="80"/>
        </w:rPr>
      </w:pPr>
      <w:r w:rsidRPr="00B316BB">
        <w:rPr>
          <w:b/>
          <w:bCs/>
          <w:color w:val="7F7F7F" w:themeColor="text1" w:themeTint="80"/>
        </w:rPr>
        <w:t>Commercial Implications for Leaders:</w:t>
      </w:r>
    </w:p>
    <w:p w14:paraId="1626C990" w14:textId="77777777" w:rsidR="00DC4B19" w:rsidRPr="00B316BB" w:rsidRDefault="00DC4B19" w:rsidP="00DC4B19">
      <w:pPr>
        <w:numPr>
          <w:ilvl w:val="0"/>
          <w:numId w:val="5"/>
        </w:numPr>
        <w:rPr>
          <w:color w:val="7F7F7F" w:themeColor="text1" w:themeTint="80"/>
        </w:rPr>
      </w:pPr>
      <w:r w:rsidRPr="00B316BB">
        <w:rPr>
          <w:b/>
          <w:bCs/>
          <w:color w:val="7F7F7F" w:themeColor="text1" w:themeTint="80"/>
        </w:rPr>
        <w:t>Investment Prioritisation:</w:t>
      </w:r>
      <w:r w:rsidRPr="00B316BB">
        <w:rPr>
          <w:color w:val="7F7F7F" w:themeColor="text1" w:themeTint="80"/>
        </w:rPr>
        <w:t xml:space="preserve"> Utility firms must balance capital-intensive green projects with short-term profitability across electricity, gas, and water.</w:t>
      </w:r>
    </w:p>
    <w:p w14:paraId="690F569A" w14:textId="77777777" w:rsidR="00DC4B19" w:rsidRPr="00B316BB" w:rsidRDefault="00DC4B19" w:rsidP="00DC4B19">
      <w:pPr>
        <w:numPr>
          <w:ilvl w:val="0"/>
          <w:numId w:val="5"/>
        </w:numPr>
        <w:rPr>
          <w:color w:val="7F7F7F" w:themeColor="text1" w:themeTint="80"/>
        </w:rPr>
      </w:pPr>
      <w:r w:rsidRPr="00B316BB">
        <w:rPr>
          <w:b/>
          <w:bCs/>
          <w:color w:val="7F7F7F" w:themeColor="text1" w:themeTint="80"/>
        </w:rPr>
        <w:t>Customer Engagement Strategies:</w:t>
      </w:r>
      <w:r w:rsidRPr="00B316BB">
        <w:rPr>
          <w:color w:val="7F7F7F" w:themeColor="text1" w:themeTint="80"/>
        </w:rPr>
        <w:t xml:space="preserve"> Enhanced digital services, tailored tariffs, and sustainability commitments will differentiate providers.</w:t>
      </w:r>
    </w:p>
    <w:p w14:paraId="0C7A421E" w14:textId="77777777" w:rsidR="00DC4B19" w:rsidRPr="00B316BB" w:rsidRDefault="00DC4B19" w:rsidP="00DC4B19">
      <w:pPr>
        <w:numPr>
          <w:ilvl w:val="0"/>
          <w:numId w:val="5"/>
        </w:numPr>
        <w:rPr>
          <w:color w:val="7F7F7F" w:themeColor="text1" w:themeTint="80"/>
        </w:rPr>
      </w:pPr>
      <w:r w:rsidRPr="00B316BB">
        <w:rPr>
          <w:b/>
          <w:bCs/>
          <w:color w:val="7F7F7F" w:themeColor="text1" w:themeTint="80"/>
        </w:rPr>
        <w:t>Regulatory Navigation:</w:t>
      </w:r>
      <w:r w:rsidRPr="00B316BB">
        <w:rPr>
          <w:color w:val="7F7F7F" w:themeColor="text1" w:themeTint="80"/>
        </w:rPr>
        <w:t xml:space="preserve"> Strategic compliance and lobbying efforts will be essential to align business models with evolving regulations across all utility sectors.</w:t>
      </w:r>
    </w:p>
    <w:p w14:paraId="49472927" w14:textId="77777777" w:rsidR="00DC4B19" w:rsidRPr="00B316BB" w:rsidRDefault="00DC4B19" w:rsidP="00DC4B19">
      <w:pPr>
        <w:numPr>
          <w:ilvl w:val="0"/>
          <w:numId w:val="5"/>
        </w:numPr>
        <w:rPr>
          <w:color w:val="7F7F7F" w:themeColor="text1" w:themeTint="80"/>
        </w:rPr>
      </w:pPr>
      <w:r w:rsidRPr="00B316BB">
        <w:rPr>
          <w:b/>
          <w:bCs/>
          <w:color w:val="7F7F7F" w:themeColor="text1" w:themeTint="80"/>
        </w:rPr>
        <w:t>Technology Adoption:</w:t>
      </w:r>
      <w:r w:rsidRPr="00B316BB">
        <w:rPr>
          <w:color w:val="7F7F7F" w:themeColor="text1" w:themeTint="80"/>
        </w:rPr>
        <w:t xml:space="preserve"> Embracing AI, IoT, and blockchain can drive efficiency and create competitive advantages in energy and water management.</w:t>
      </w:r>
    </w:p>
    <w:p w14:paraId="4A02961C" w14:textId="77777777" w:rsidR="00DC4B19" w:rsidRPr="00B316BB" w:rsidRDefault="00DC4B19" w:rsidP="00DC4B19">
      <w:pPr>
        <w:numPr>
          <w:ilvl w:val="0"/>
          <w:numId w:val="5"/>
        </w:numPr>
        <w:rPr>
          <w:color w:val="7F7F7F" w:themeColor="text1" w:themeTint="80"/>
        </w:rPr>
      </w:pPr>
      <w:r w:rsidRPr="00B316BB">
        <w:rPr>
          <w:b/>
          <w:bCs/>
          <w:color w:val="7F7F7F" w:themeColor="text1" w:themeTint="80"/>
        </w:rPr>
        <w:t>Resilience Planning:</w:t>
      </w:r>
      <w:r w:rsidRPr="00B316BB">
        <w:rPr>
          <w:color w:val="7F7F7F" w:themeColor="text1" w:themeTint="80"/>
        </w:rPr>
        <w:t xml:space="preserve"> Strengthening cybersecurity, infrastructure resilience, and flexible supply chains will be key to mitigating risks.</w:t>
      </w:r>
    </w:p>
    <w:p w14:paraId="60457AF3" w14:textId="77777777" w:rsidR="00DC4B19" w:rsidRPr="00B316BB" w:rsidRDefault="00DC4B19" w:rsidP="00DC4B19">
      <w:pPr>
        <w:rPr>
          <w:color w:val="7F7F7F" w:themeColor="text1" w:themeTint="80"/>
        </w:rPr>
      </w:pPr>
      <w:r w:rsidRPr="00B316BB">
        <w:rPr>
          <w:b/>
          <w:bCs/>
          <w:color w:val="7F7F7F" w:themeColor="text1" w:themeTint="80"/>
        </w:rPr>
        <w:t>Conclusion:</w:t>
      </w:r>
      <w:r w:rsidRPr="00B316BB">
        <w:rPr>
          <w:color w:val="7F7F7F" w:themeColor="text1" w:themeTint="80"/>
        </w:rPr>
        <w:br/>
        <w:t>The UK utilities sector is at a pivotal juncture, with innovation and sustainability at its core. Companies that proactively adapt to technological advancements, regulatory frameworks, and shifting consumer preferences across electricity, gas, and water will emerge as industry leaders in the next decade.</w:t>
      </w:r>
    </w:p>
    <w:p w14:paraId="797FC292" w14:textId="77777777" w:rsidR="00DC4B19" w:rsidRPr="00B316BB" w:rsidRDefault="00DC4B19" w:rsidP="00DC4B19">
      <w:pPr>
        <w:rPr>
          <w:color w:val="7F7F7F" w:themeColor="text1" w:themeTint="80"/>
        </w:rPr>
      </w:pPr>
    </w:p>
    <w:p w14:paraId="2E6C33A4" w14:textId="245F5CDF" w:rsidR="00DC4B19" w:rsidRPr="00B316BB" w:rsidRDefault="00DC4B19" w:rsidP="00DC4B19">
      <w:pPr>
        <w:rPr>
          <w:color w:val="7F7F7F" w:themeColor="text1" w:themeTint="80"/>
        </w:rPr>
      </w:pPr>
      <w:r w:rsidRPr="009C1881">
        <w:rPr>
          <w:b/>
          <w:bCs/>
          <w:color w:val="7F7F7F" w:themeColor="text1" w:themeTint="80"/>
        </w:rPr>
        <w:t>Further reading:</w:t>
      </w:r>
      <w:r w:rsidRPr="00B316BB">
        <w:rPr>
          <w:color w:val="7F7F7F" w:themeColor="text1" w:themeTint="80"/>
        </w:rPr>
        <w:t xml:space="preserve">  Here are several credible white papers and articles that delve into the themes of digital transformation, sustainability, and evolving trends within the UK utilities sector:</w:t>
      </w:r>
    </w:p>
    <w:p w14:paraId="0805D793" w14:textId="77777777" w:rsidR="00DC4B19" w:rsidRPr="00B316BB" w:rsidRDefault="00DC4B19" w:rsidP="00DC4B19">
      <w:pPr>
        <w:numPr>
          <w:ilvl w:val="0"/>
          <w:numId w:val="6"/>
        </w:numPr>
        <w:rPr>
          <w:color w:val="7F7F7F" w:themeColor="text1" w:themeTint="80"/>
        </w:rPr>
      </w:pPr>
      <w:r w:rsidRPr="00B316BB">
        <w:rPr>
          <w:b/>
          <w:bCs/>
          <w:color w:val="7F7F7F" w:themeColor="text1" w:themeTint="80"/>
        </w:rPr>
        <w:t>"Energy White Paper: Powering Our Net Zero Future"</w:t>
      </w:r>
      <w:r w:rsidRPr="00B316BB">
        <w:rPr>
          <w:color w:val="7F7F7F" w:themeColor="text1" w:themeTint="80"/>
        </w:rPr>
        <w:t xml:space="preserve"> by the UK Government:</w:t>
      </w:r>
    </w:p>
    <w:p w14:paraId="632BD055" w14:textId="77777777" w:rsidR="00DC4B19" w:rsidRPr="00B316BB" w:rsidRDefault="00DC4B19" w:rsidP="00DC4B19">
      <w:pPr>
        <w:numPr>
          <w:ilvl w:val="1"/>
          <w:numId w:val="6"/>
        </w:numPr>
        <w:rPr>
          <w:color w:val="7F7F7F" w:themeColor="text1" w:themeTint="80"/>
        </w:rPr>
      </w:pPr>
      <w:r w:rsidRPr="00B316BB">
        <w:rPr>
          <w:color w:val="7F7F7F" w:themeColor="text1" w:themeTint="80"/>
        </w:rPr>
        <w:t>This comprehensive document outlines the UK's strategy to decarbonize the energy system, emphasizing the transition to clean energy and the goal of achieving net-zero emissions by 2050. It provides insights into policy measures, technological advancements, and the role of various stakeholders in this transformation.</w:t>
      </w:r>
    </w:p>
    <w:p w14:paraId="22E433FB" w14:textId="77777777" w:rsidR="00DC4B19" w:rsidRPr="00B316BB" w:rsidRDefault="00DC4B19" w:rsidP="00DC4B19">
      <w:pPr>
        <w:numPr>
          <w:ilvl w:val="1"/>
          <w:numId w:val="6"/>
        </w:numPr>
        <w:rPr>
          <w:color w:val="7F7F7F" w:themeColor="text1" w:themeTint="80"/>
        </w:rPr>
      </w:pPr>
      <w:r w:rsidRPr="00B316BB">
        <w:rPr>
          <w:color w:val="7F7F7F" w:themeColor="text1" w:themeTint="80"/>
        </w:rPr>
        <w:t xml:space="preserve">Access it here: </w:t>
      </w:r>
      <w:hyperlink r:id="rId7" w:tgtFrame="_blank" w:history="1">
        <w:r w:rsidRPr="00B316BB">
          <w:rPr>
            <w:rStyle w:val="Hyperlink"/>
            <w:color w:val="7F7F7F" w:themeColor="text1" w:themeTint="80"/>
          </w:rPr>
          <w:t>GOV.UK</w:t>
        </w:r>
      </w:hyperlink>
    </w:p>
    <w:p w14:paraId="27AAFBA0" w14:textId="77777777" w:rsidR="00DC4B19" w:rsidRPr="00B316BB" w:rsidRDefault="00DC4B19" w:rsidP="00DC4B19">
      <w:pPr>
        <w:numPr>
          <w:ilvl w:val="0"/>
          <w:numId w:val="6"/>
        </w:numPr>
        <w:rPr>
          <w:color w:val="7F7F7F" w:themeColor="text1" w:themeTint="80"/>
        </w:rPr>
      </w:pPr>
      <w:r w:rsidRPr="00B316BB">
        <w:rPr>
          <w:b/>
          <w:bCs/>
          <w:color w:val="7F7F7F" w:themeColor="text1" w:themeTint="80"/>
        </w:rPr>
        <w:t>"Utilities' Race to Net Zero: The Transition to Clean Energy in the UK"</w:t>
      </w:r>
      <w:r w:rsidRPr="00B316BB">
        <w:rPr>
          <w:color w:val="7F7F7F" w:themeColor="text1" w:themeTint="80"/>
        </w:rPr>
        <w:t xml:space="preserve"> by Tata Consultancy Services:</w:t>
      </w:r>
    </w:p>
    <w:p w14:paraId="658401FD" w14:textId="77777777" w:rsidR="00DC4B19" w:rsidRPr="00B316BB" w:rsidRDefault="00DC4B19" w:rsidP="00DC4B19">
      <w:pPr>
        <w:numPr>
          <w:ilvl w:val="1"/>
          <w:numId w:val="6"/>
        </w:numPr>
        <w:rPr>
          <w:color w:val="7F7F7F" w:themeColor="text1" w:themeTint="80"/>
        </w:rPr>
      </w:pPr>
      <w:r w:rsidRPr="00B316BB">
        <w:rPr>
          <w:color w:val="7F7F7F" w:themeColor="text1" w:themeTint="80"/>
        </w:rPr>
        <w:t xml:space="preserve">This white paper explores the challenges and opportunities that UK utilities face in transitioning to a low-carbon economy. It highlights the importance of </w:t>
      </w:r>
      <w:r w:rsidRPr="00B316BB">
        <w:rPr>
          <w:color w:val="7F7F7F" w:themeColor="text1" w:themeTint="80"/>
        </w:rPr>
        <w:lastRenderedPageBreak/>
        <w:t>collaboration among governments, businesses, and consumers to achieve sustainability goals and discusses strategies for reducing carbon footprints within the sector.</w:t>
      </w:r>
    </w:p>
    <w:p w14:paraId="144D3116" w14:textId="77777777" w:rsidR="00DC4B19" w:rsidRPr="00B316BB" w:rsidRDefault="00DC4B19" w:rsidP="00DC4B19">
      <w:pPr>
        <w:numPr>
          <w:ilvl w:val="1"/>
          <w:numId w:val="6"/>
        </w:numPr>
        <w:rPr>
          <w:color w:val="7F7F7F" w:themeColor="text1" w:themeTint="80"/>
        </w:rPr>
      </w:pPr>
      <w:r w:rsidRPr="00B316BB">
        <w:rPr>
          <w:color w:val="7F7F7F" w:themeColor="text1" w:themeTint="80"/>
        </w:rPr>
        <w:t xml:space="preserve">Read more at: </w:t>
      </w:r>
      <w:hyperlink r:id="rId8" w:tgtFrame="_blank" w:history="1">
        <w:r w:rsidRPr="00B316BB">
          <w:rPr>
            <w:rStyle w:val="Hyperlink"/>
            <w:color w:val="7F7F7F" w:themeColor="text1" w:themeTint="80"/>
          </w:rPr>
          <w:t>Tata Consultancy Services</w:t>
        </w:r>
      </w:hyperlink>
    </w:p>
    <w:p w14:paraId="7060DB3A" w14:textId="77777777" w:rsidR="00DC4B19" w:rsidRPr="00B316BB" w:rsidRDefault="00DC4B19" w:rsidP="00DC4B19">
      <w:pPr>
        <w:numPr>
          <w:ilvl w:val="0"/>
          <w:numId w:val="6"/>
        </w:numPr>
        <w:rPr>
          <w:color w:val="7F7F7F" w:themeColor="text1" w:themeTint="80"/>
        </w:rPr>
      </w:pPr>
      <w:r w:rsidRPr="00B316BB">
        <w:rPr>
          <w:b/>
          <w:bCs/>
          <w:color w:val="7F7F7F" w:themeColor="text1" w:themeTint="80"/>
        </w:rPr>
        <w:t>"</w:t>
      </w:r>
      <w:proofErr w:type="spellStart"/>
      <w:r w:rsidRPr="00B316BB">
        <w:rPr>
          <w:b/>
          <w:bCs/>
          <w:color w:val="7F7F7F" w:themeColor="text1" w:themeTint="80"/>
        </w:rPr>
        <w:t>techUK</w:t>
      </w:r>
      <w:proofErr w:type="spellEnd"/>
      <w:r w:rsidRPr="00B316BB">
        <w:rPr>
          <w:b/>
          <w:bCs/>
          <w:color w:val="7F7F7F" w:themeColor="text1" w:themeTint="80"/>
        </w:rPr>
        <w:t xml:space="preserve"> Publishes a Whitepaper Highlighting the Power of Digital Twins in the Energy Sector"</w:t>
      </w:r>
      <w:r w:rsidRPr="00B316BB">
        <w:rPr>
          <w:color w:val="7F7F7F" w:themeColor="text1" w:themeTint="80"/>
        </w:rPr>
        <w:t xml:space="preserve"> by </w:t>
      </w:r>
      <w:proofErr w:type="spellStart"/>
      <w:r w:rsidRPr="00B316BB">
        <w:rPr>
          <w:color w:val="7F7F7F" w:themeColor="text1" w:themeTint="80"/>
        </w:rPr>
        <w:t>techUK</w:t>
      </w:r>
      <w:proofErr w:type="spellEnd"/>
      <w:r w:rsidRPr="00B316BB">
        <w:rPr>
          <w:color w:val="7F7F7F" w:themeColor="text1" w:themeTint="80"/>
        </w:rPr>
        <w:t>:</w:t>
      </w:r>
    </w:p>
    <w:p w14:paraId="4EC72FCA" w14:textId="77777777" w:rsidR="00DC4B19" w:rsidRPr="00B316BB" w:rsidRDefault="00DC4B19" w:rsidP="00DC4B19">
      <w:pPr>
        <w:numPr>
          <w:ilvl w:val="1"/>
          <w:numId w:val="6"/>
        </w:numPr>
        <w:rPr>
          <w:color w:val="7F7F7F" w:themeColor="text1" w:themeTint="80"/>
        </w:rPr>
      </w:pPr>
      <w:r w:rsidRPr="00B316BB">
        <w:rPr>
          <w:color w:val="7F7F7F" w:themeColor="text1" w:themeTint="80"/>
        </w:rPr>
        <w:t>Focusing on the implementation of digital twin technology, this white paper discusses how virtual representations of physical assets can enhance efficiency, risk management, and the deployment of renewable energy within the UK's energy sector.</w:t>
      </w:r>
    </w:p>
    <w:p w14:paraId="4A812BA1" w14:textId="77777777" w:rsidR="00DC4B19" w:rsidRPr="00B316BB" w:rsidRDefault="00DC4B19" w:rsidP="00DC4B19">
      <w:pPr>
        <w:numPr>
          <w:ilvl w:val="1"/>
          <w:numId w:val="6"/>
        </w:numPr>
        <w:rPr>
          <w:color w:val="7F7F7F" w:themeColor="text1" w:themeTint="80"/>
        </w:rPr>
      </w:pPr>
      <w:r w:rsidRPr="00B316BB">
        <w:rPr>
          <w:color w:val="7F7F7F" w:themeColor="text1" w:themeTint="80"/>
        </w:rPr>
        <w:t xml:space="preserve">Find the publication here: </w:t>
      </w:r>
      <w:hyperlink r:id="rId9" w:tgtFrame="_blank" w:history="1">
        <w:r w:rsidRPr="00B316BB">
          <w:rPr>
            <w:rStyle w:val="Hyperlink"/>
            <w:color w:val="7F7F7F" w:themeColor="text1" w:themeTint="80"/>
          </w:rPr>
          <w:t xml:space="preserve">The UK's technology trade </w:t>
        </w:r>
        <w:proofErr w:type="spellStart"/>
        <w:r w:rsidRPr="00B316BB">
          <w:rPr>
            <w:rStyle w:val="Hyperlink"/>
            <w:color w:val="7F7F7F" w:themeColor="text1" w:themeTint="80"/>
          </w:rPr>
          <w:t>association</w:t>
        </w:r>
      </w:hyperlink>
      <w:hyperlink r:id="rId10" w:tgtFrame="_blank" w:history="1">
        <w:r w:rsidRPr="00B316BB">
          <w:rPr>
            <w:rStyle w:val="Hyperlink"/>
            <w:color w:val="7F7F7F" w:themeColor="text1" w:themeTint="80"/>
          </w:rPr>
          <w:t>The</w:t>
        </w:r>
        <w:proofErr w:type="spellEnd"/>
        <w:r w:rsidRPr="00B316BB">
          <w:rPr>
            <w:rStyle w:val="Hyperlink"/>
            <w:color w:val="7F7F7F" w:themeColor="text1" w:themeTint="80"/>
          </w:rPr>
          <w:t xml:space="preserve"> UK's technology trade association</w:t>
        </w:r>
      </w:hyperlink>
    </w:p>
    <w:p w14:paraId="587391C2" w14:textId="77777777" w:rsidR="00DC4B19" w:rsidRPr="00B316BB" w:rsidRDefault="00DC4B19" w:rsidP="00DC4B19">
      <w:pPr>
        <w:numPr>
          <w:ilvl w:val="0"/>
          <w:numId w:val="6"/>
        </w:numPr>
        <w:rPr>
          <w:color w:val="7F7F7F" w:themeColor="text1" w:themeTint="80"/>
        </w:rPr>
      </w:pPr>
      <w:r w:rsidRPr="00B316BB">
        <w:rPr>
          <w:b/>
          <w:bCs/>
          <w:color w:val="7F7F7F" w:themeColor="text1" w:themeTint="80"/>
        </w:rPr>
        <w:t>"Utilities 2023: Digital Transformation and Energy Transition"</w:t>
      </w:r>
      <w:r w:rsidRPr="00B316BB">
        <w:rPr>
          <w:color w:val="7F7F7F" w:themeColor="text1" w:themeTint="80"/>
        </w:rPr>
        <w:t xml:space="preserve"> by Eaton:</w:t>
      </w:r>
    </w:p>
    <w:p w14:paraId="64ABAA3F" w14:textId="77777777" w:rsidR="00DC4B19" w:rsidRPr="00B316BB" w:rsidRDefault="00DC4B19" w:rsidP="00DC4B19">
      <w:pPr>
        <w:numPr>
          <w:ilvl w:val="1"/>
          <w:numId w:val="6"/>
        </w:numPr>
        <w:rPr>
          <w:color w:val="7F7F7F" w:themeColor="text1" w:themeTint="80"/>
        </w:rPr>
      </w:pPr>
      <w:r w:rsidRPr="00B316BB">
        <w:rPr>
          <w:color w:val="7F7F7F" w:themeColor="text1" w:themeTint="80"/>
        </w:rPr>
        <w:t>This document examines how digital strategies are becoming essential for utilities to ensure energy resilience and flexibility amid the shift to more sustainable and renewable energy sources. It addresses the challenges posed by market volatility and the pressures on global natural gas supplies.</w:t>
      </w:r>
    </w:p>
    <w:p w14:paraId="28AF2CDF" w14:textId="77777777" w:rsidR="00DC4B19" w:rsidRPr="00B316BB" w:rsidRDefault="00DC4B19" w:rsidP="00DC4B19">
      <w:pPr>
        <w:numPr>
          <w:ilvl w:val="1"/>
          <w:numId w:val="6"/>
        </w:numPr>
        <w:rPr>
          <w:color w:val="7F7F7F" w:themeColor="text1" w:themeTint="80"/>
        </w:rPr>
      </w:pPr>
      <w:r w:rsidRPr="00B316BB">
        <w:rPr>
          <w:color w:val="7F7F7F" w:themeColor="text1" w:themeTint="80"/>
        </w:rPr>
        <w:t xml:space="preserve">Access the white paper: </w:t>
      </w:r>
      <w:hyperlink r:id="rId11" w:tgtFrame="_blank" w:history="1">
        <w:proofErr w:type="spellStart"/>
        <w:r w:rsidRPr="00B316BB">
          <w:rPr>
            <w:rStyle w:val="Hyperlink"/>
            <w:color w:val="7F7F7F" w:themeColor="text1" w:themeTint="80"/>
          </w:rPr>
          <w:t>Eaton</w:t>
        </w:r>
      </w:hyperlink>
      <w:hyperlink r:id="rId12" w:tgtFrame="_blank" w:history="1">
        <w:r w:rsidRPr="00B316BB">
          <w:rPr>
            <w:rStyle w:val="Hyperlink"/>
            <w:color w:val="7F7F7F" w:themeColor="text1" w:themeTint="80"/>
          </w:rPr>
          <w:t>Eaton</w:t>
        </w:r>
        <w:proofErr w:type="spellEnd"/>
      </w:hyperlink>
    </w:p>
    <w:p w14:paraId="635935C2" w14:textId="77777777" w:rsidR="00DC4B19" w:rsidRPr="00B316BB" w:rsidRDefault="00DC4B19" w:rsidP="00DC4B19">
      <w:pPr>
        <w:numPr>
          <w:ilvl w:val="0"/>
          <w:numId w:val="6"/>
        </w:numPr>
        <w:rPr>
          <w:color w:val="7F7F7F" w:themeColor="text1" w:themeTint="80"/>
        </w:rPr>
      </w:pPr>
      <w:r w:rsidRPr="00B316BB">
        <w:rPr>
          <w:b/>
          <w:bCs/>
          <w:color w:val="7F7F7F" w:themeColor="text1" w:themeTint="80"/>
        </w:rPr>
        <w:t>"Green Transformation Lessons Learned"</w:t>
      </w:r>
      <w:r w:rsidRPr="00B316BB">
        <w:rPr>
          <w:color w:val="7F7F7F" w:themeColor="text1" w:themeTint="80"/>
        </w:rPr>
        <w:t xml:space="preserve"> by </w:t>
      </w:r>
      <w:proofErr w:type="spellStart"/>
      <w:r w:rsidRPr="00B316BB">
        <w:rPr>
          <w:color w:val="7F7F7F" w:themeColor="text1" w:themeTint="80"/>
        </w:rPr>
        <w:t>Ørsted</w:t>
      </w:r>
      <w:proofErr w:type="spellEnd"/>
      <w:r w:rsidRPr="00B316BB">
        <w:rPr>
          <w:color w:val="7F7F7F" w:themeColor="text1" w:themeTint="80"/>
        </w:rPr>
        <w:t>:</w:t>
      </w:r>
    </w:p>
    <w:p w14:paraId="70705001" w14:textId="77777777" w:rsidR="00DC4B19" w:rsidRPr="00B316BB" w:rsidRDefault="00DC4B19" w:rsidP="00DC4B19">
      <w:pPr>
        <w:numPr>
          <w:ilvl w:val="1"/>
          <w:numId w:val="6"/>
        </w:numPr>
        <w:rPr>
          <w:color w:val="7F7F7F" w:themeColor="text1" w:themeTint="80"/>
        </w:rPr>
      </w:pPr>
      <w:r w:rsidRPr="00B316BB">
        <w:rPr>
          <w:color w:val="7F7F7F" w:themeColor="text1" w:themeTint="80"/>
        </w:rPr>
        <w:t xml:space="preserve">This paper shares insights from </w:t>
      </w:r>
      <w:proofErr w:type="spellStart"/>
      <w:r w:rsidRPr="00B316BB">
        <w:rPr>
          <w:color w:val="7F7F7F" w:themeColor="text1" w:themeTint="80"/>
        </w:rPr>
        <w:t>Ørsted's</w:t>
      </w:r>
      <w:proofErr w:type="spellEnd"/>
      <w:r w:rsidRPr="00B316BB">
        <w:rPr>
          <w:color w:val="7F7F7F" w:themeColor="text1" w:themeTint="80"/>
        </w:rPr>
        <w:t xml:space="preserve"> transformation from fossil fuels to renewable energy. It outlines key learnings about executing a green business transformation, which may be beneficial for companies in the utilities sector considering or undertaking a similar journey.</w:t>
      </w:r>
    </w:p>
    <w:p w14:paraId="1FBA3239" w14:textId="77777777" w:rsidR="00DC4B19" w:rsidRPr="00B316BB" w:rsidRDefault="00DC4B19" w:rsidP="00DC4B19">
      <w:pPr>
        <w:numPr>
          <w:ilvl w:val="1"/>
          <w:numId w:val="6"/>
        </w:numPr>
        <w:rPr>
          <w:color w:val="7F7F7F" w:themeColor="text1" w:themeTint="80"/>
        </w:rPr>
      </w:pPr>
      <w:r w:rsidRPr="00B316BB">
        <w:rPr>
          <w:color w:val="7F7F7F" w:themeColor="text1" w:themeTint="80"/>
        </w:rPr>
        <w:t xml:space="preserve">Read the insights here: </w:t>
      </w:r>
      <w:hyperlink r:id="rId13" w:tgtFrame="_blank" w:history="1">
        <w:proofErr w:type="spellStart"/>
        <w:r w:rsidRPr="00B316BB">
          <w:rPr>
            <w:rStyle w:val="Hyperlink"/>
            <w:color w:val="7F7F7F" w:themeColor="text1" w:themeTint="80"/>
          </w:rPr>
          <w:t>Ørsted</w:t>
        </w:r>
        <w:proofErr w:type="spellEnd"/>
        <w:r w:rsidRPr="00B316BB">
          <w:rPr>
            <w:rStyle w:val="Hyperlink"/>
            <w:color w:val="7F7F7F" w:themeColor="text1" w:themeTint="80"/>
          </w:rPr>
          <w:t xml:space="preserve"> - Love your </w:t>
        </w:r>
        <w:proofErr w:type="spellStart"/>
        <w:r w:rsidRPr="00B316BB">
          <w:rPr>
            <w:rStyle w:val="Hyperlink"/>
            <w:color w:val="7F7F7F" w:themeColor="text1" w:themeTint="80"/>
          </w:rPr>
          <w:t>home</w:t>
        </w:r>
      </w:hyperlink>
      <w:hyperlink r:id="rId14" w:tgtFrame="_blank" w:history="1">
        <w:r w:rsidRPr="00B316BB">
          <w:rPr>
            <w:rStyle w:val="Hyperlink"/>
            <w:color w:val="7F7F7F" w:themeColor="text1" w:themeTint="80"/>
          </w:rPr>
          <w:t>Ørsted</w:t>
        </w:r>
        <w:proofErr w:type="spellEnd"/>
        <w:r w:rsidRPr="00B316BB">
          <w:rPr>
            <w:rStyle w:val="Hyperlink"/>
            <w:color w:val="7F7F7F" w:themeColor="text1" w:themeTint="80"/>
          </w:rPr>
          <w:t xml:space="preserve"> - Love your home</w:t>
        </w:r>
      </w:hyperlink>
    </w:p>
    <w:p w14:paraId="39D21889" w14:textId="77777777" w:rsidR="00DC4B19" w:rsidRPr="00DC4B19" w:rsidRDefault="00DC4B19" w:rsidP="00DC4B19"/>
    <w:p w14:paraId="4E05D55E" w14:textId="77777777" w:rsidR="00280715" w:rsidRDefault="00280715"/>
    <w:sectPr w:rsidR="0028071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1759" w14:textId="77777777" w:rsidR="001F6849" w:rsidRDefault="001F6849" w:rsidP="00753258">
      <w:pPr>
        <w:spacing w:after="0" w:line="240" w:lineRule="auto"/>
      </w:pPr>
      <w:r>
        <w:separator/>
      </w:r>
    </w:p>
  </w:endnote>
  <w:endnote w:type="continuationSeparator" w:id="0">
    <w:p w14:paraId="702A25B2" w14:textId="77777777" w:rsidR="001F6849" w:rsidRDefault="001F6849" w:rsidP="0075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astanty Cortez">
    <w:charset w:val="00"/>
    <w:family w:val="auto"/>
    <w:pitch w:val="variable"/>
    <w:sig w:usb0="80000027" w:usb1="10000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1F2A" w14:textId="77777777" w:rsidR="001F6849" w:rsidRDefault="001F6849" w:rsidP="00753258">
      <w:pPr>
        <w:spacing w:after="0" w:line="240" w:lineRule="auto"/>
      </w:pPr>
      <w:r>
        <w:separator/>
      </w:r>
    </w:p>
  </w:footnote>
  <w:footnote w:type="continuationSeparator" w:id="0">
    <w:p w14:paraId="4F1F4651" w14:textId="77777777" w:rsidR="001F6849" w:rsidRDefault="001F6849" w:rsidP="0075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68C8" w14:textId="314ED439" w:rsidR="00753258" w:rsidRDefault="00753258" w:rsidP="006D6F95">
    <w:pPr>
      <w:pStyle w:val="Header"/>
      <w:tabs>
        <w:tab w:val="clear" w:pos="4513"/>
        <w:tab w:val="clear" w:pos="9026"/>
        <w:tab w:val="left" w:pos="2964"/>
      </w:tabs>
    </w:pPr>
    <w:r>
      <w:rPr>
        <w:rStyle w:val="wacimagecontainer"/>
        <w:rFonts w:ascii="Segoe UI" w:hAnsi="Segoe UI" w:cs="Segoe UI"/>
        <w:noProof/>
        <w:color w:val="000000"/>
        <w:sz w:val="18"/>
        <w:szCs w:val="18"/>
        <w:shd w:val="clear" w:color="auto" w:fill="FFFFFF"/>
      </w:rPr>
      <w:drawing>
        <wp:inline distT="0" distB="0" distL="0" distR="0" wp14:anchorId="789AB5D5" wp14:editId="623EA982">
          <wp:extent cx="1569720" cy="693420"/>
          <wp:effectExtent l="0" t="0" r="0" b="0"/>
          <wp:docPr id="1" name="Picture 1" descr="A green and whit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white logo&#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693420"/>
                  </a:xfrm>
                  <a:prstGeom prst="rect">
                    <a:avLst/>
                  </a:prstGeom>
                  <a:noFill/>
                  <a:ln>
                    <a:noFill/>
                  </a:ln>
                </pic:spPr>
              </pic:pic>
            </a:graphicData>
          </a:graphic>
        </wp:inline>
      </w:drawing>
    </w:r>
    <w:r w:rsidR="006D6F95">
      <w:tab/>
    </w:r>
    <w:proofErr w:type="spellStart"/>
    <w:r w:rsidR="006D6F95">
      <w:rPr>
        <w:rStyle w:val="normaltextrun"/>
        <w:rFonts w:ascii="Rastanty Cortez" w:hAnsi="Rastanty Cortez"/>
        <w:color w:val="7F7F7F"/>
        <w:sz w:val="80"/>
        <w:szCs w:val="80"/>
        <w:bdr w:val="none" w:sz="0" w:space="0" w:color="auto" w:frame="1"/>
      </w:rPr>
      <w:t>Uk</w:t>
    </w:r>
    <w:proofErr w:type="spellEnd"/>
    <w:r w:rsidR="006D6F95">
      <w:rPr>
        <w:rStyle w:val="normaltextrun"/>
        <w:rFonts w:ascii="Rastanty Cortez" w:hAnsi="Rastanty Cortez"/>
        <w:color w:val="7F7F7F"/>
        <w:sz w:val="80"/>
        <w:szCs w:val="80"/>
        <w:bdr w:val="none" w:sz="0" w:space="0" w:color="auto" w:frame="1"/>
      </w:rPr>
      <w:t xml:space="preserve"> Utilities Industry Snapshot</w:t>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A9"/>
    <w:multiLevelType w:val="multilevel"/>
    <w:tmpl w:val="59A22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D21C3"/>
    <w:multiLevelType w:val="multilevel"/>
    <w:tmpl w:val="F682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60493"/>
    <w:multiLevelType w:val="multilevel"/>
    <w:tmpl w:val="6716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60A8B"/>
    <w:multiLevelType w:val="multilevel"/>
    <w:tmpl w:val="2DC8D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D3BEC"/>
    <w:multiLevelType w:val="multilevel"/>
    <w:tmpl w:val="0E6E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46DF5"/>
    <w:multiLevelType w:val="multilevel"/>
    <w:tmpl w:val="2D9E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511263">
    <w:abstractNumId w:val="2"/>
  </w:num>
  <w:num w:numId="2" w16cid:durableId="622661204">
    <w:abstractNumId w:val="4"/>
  </w:num>
  <w:num w:numId="3" w16cid:durableId="2139755444">
    <w:abstractNumId w:val="5"/>
  </w:num>
  <w:num w:numId="4" w16cid:durableId="1061254088">
    <w:abstractNumId w:val="0"/>
  </w:num>
  <w:num w:numId="5" w16cid:durableId="1148979048">
    <w:abstractNumId w:val="1"/>
  </w:num>
  <w:num w:numId="6" w16cid:durableId="826634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19"/>
    <w:rsid w:val="00131BB0"/>
    <w:rsid w:val="001861E0"/>
    <w:rsid w:val="001F6849"/>
    <w:rsid w:val="00211855"/>
    <w:rsid w:val="00215CA5"/>
    <w:rsid w:val="00280715"/>
    <w:rsid w:val="003F69D6"/>
    <w:rsid w:val="005474CF"/>
    <w:rsid w:val="006D6F95"/>
    <w:rsid w:val="00753258"/>
    <w:rsid w:val="009C1881"/>
    <w:rsid w:val="00B316BB"/>
    <w:rsid w:val="00CB5687"/>
    <w:rsid w:val="00DC4B19"/>
    <w:rsid w:val="00F0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1B14"/>
  <w15:chartTrackingRefBased/>
  <w15:docId w15:val="{CD78FAFC-D961-436F-A8CE-3AC578D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B19"/>
    <w:rPr>
      <w:rFonts w:eastAsiaTheme="majorEastAsia" w:cstheme="majorBidi"/>
      <w:color w:val="272727" w:themeColor="text1" w:themeTint="D8"/>
    </w:rPr>
  </w:style>
  <w:style w:type="paragraph" w:styleId="Title">
    <w:name w:val="Title"/>
    <w:basedOn w:val="Normal"/>
    <w:next w:val="Normal"/>
    <w:link w:val="TitleChar"/>
    <w:uiPriority w:val="10"/>
    <w:qFormat/>
    <w:rsid w:val="00DC4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B19"/>
    <w:pPr>
      <w:spacing w:before="160"/>
      <w:jc w:val="center"/>
    </w:pPr>
    <w:rPr>
      <w:i/>
      <w:iCs/>
      <w:color w:val="404040" w:themeColor="text1" w:themeTint="BF"/>
    </w:rPr>
  </w:style>
  <w:style w:type="character" w:customStyle="1" w:styleId="QuoteChar">
    <w:name w:val="Quote Char"/>
    <w:basedOn w:val="DefaultParagraphFont"/>
    <w:link w:val="Quote"/>
    <w:uiPriority w:val="29"/>
    <w:rsid w:val="00DC4B19"/>
    <w:rPr>
      <w:i/>
      <w:iCs/>
      <w:color w:val="404040" w:themeColor="text1" w:themeTint="BF"/>
    </w:rPr>
  </w:style>
  <w:style w:type="paragraph" w:styleId="ListParagraph">
    <w:name w:val="List Paragraph"/>
    <w:basedOn w:val="Normal"/>
    <w:uiPriority w:val="34"/>
    <w:qFormat/>
    <w:rsid w:val="00DC4B19"/>
    <w:pPr>
      <w:ind w:left="720"/>
      <w:contextualSpacing/>
    </w:pPr>
  </w:style>
  <w:style w:type="character" w:styleId="IntenseEmphasis">
    <w:name w:val="Intense Emphasis"/>
    <w:basedOn w:val="DefaultParagraphFont"/>
    <w:uiPriority w:val="21"/>
    <w:qFormat/>
    <w:rsid w:val="00DC4B19"/>
    <w:rPr>
      <w:i/>
      <w:iCs/>
      <w:color w:val="0F4761" w:themeColor="accent1" w:themeShade="BF"/>
    </w:rPr>
  </w:style>
  <w:style w:type="paragraph" w:styleId="IntenseQuote">
    <w:name w:val="Intense Quote"/>
    <w:basedOn w:val="Normal"/>
    <w:next w:val="Normal"/>
    <w:link w:val="IntenseQuoteChar"/>
    <w:uiPriority w:val="30"/>
    <w:qFormat/>
    <w:rsid w:val="00DC4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B19"/>
    <w:rPr>
      <w:i/>
      <w:iCs/>
      <w:color w:val="0F4761" w:themeColor="accent1" w:themeShade="BF"/>
    </w:rPr>
  </w:style>
  <w:style w:type="character" w:styleId="IntenseReference">
    <w:name w:val="Intense Reference"/>
    <w:basedOn w:val="DefaultParagraphFont"/>
    <w:uiPriority w:val="32"/>
    <w:qFormat/>
    <w:rsid w:val="00DC4B19"/>
    <w:rPr>
      <w:b/>
      <w:bCs/>
      <w:smallCaps/>
      <w:color w:val="0F4761" w:themeColor="accent1" w:themeShade="BF"/>
      <w:spacing w:val="5"/>
    </w:rPr>
  </w:style>
  <w:style w:type="character" w:styleId="Hyperlink">
    <w:name w:val="Hyperlink"/>
    <w:basedOn w:val="DefaultParagraphFont"/>
    <w:uiPriority w:val="99"/>
    <w:unhideWhenUsed/>
    <w:rsid w:val="00DC4B19"/>
    <w:rPr>
      <w:color w:val="467886" w:themeColor="hyperlink"/>
      <w:u w:val="single"/>
    </w:rPr>
  </w:style>
  <w:style w:type="character" w:styleId="UnresolvedMention">
    <w:name w:val="Unresolved Mention"/>
    <w:basedOn w:val="DefaultParagraphFont"/>
    <w:uiPriority w:val="99"/>
    <w:semiHidden/>
    <w:unhideWhenUsed/>
    <w:rsid w:val="00DC4B19"/>
    <w:rPr>
      <w:color w:val="605E5C"/>
      <w:shd w:val="clear" w:color="auto" w:fill="E1DFDD"/>
    </w:rPr>
  </w:style>
  <w:style w:type="paragraph" w:styleId="Header">
    <w:name w:val="header"/>
    <w:basedOn w:val="Normal"/>
    <w:link w:val="HeaderChar"/>
    <w:uiPriority w:val="99"/>
    <w:unhideWhenUsed/>
    <w:rsid w:val="00753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258"/>
  </w:style>
  <w:style w:type="paragraph" w:styleId="Footer">
    <w:name w:val="footer"/>
    <w:basedOn w:val="Normal"/>
    <w:link w:val="FooterChar"/>
    <w:uiPriority w:val="99"/>
    <w:unhideWhenUsed/>
    <w:rsid w:val="00753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258"/>
  </w:style>
  <w:style w:type="character" w:customStyle="1" w:styleId="wacimagecontainer">
    <w:name w:val="wacimagecontainer"/>
    <w:basedOn w:val="DefaultParagraphFont"/>
    <w:rsid w:val="00753258"/>
  </w:style>
  <w:style w:type="character" w:customStyle="1" w:styleId="normaltextrun">
    <w:name w:val="normaltextrun"/>
    <w:basedOn w:val="DefaultParagraphFont"/>
    <w:rsid w:val="006D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6886">
      <w:bodyDiv w:val="1"/>
      <w:marLeft w:val="0"/>
      <w:marRight w:val="0"/>
      <w:marTop w:val="0"/>
      <w:marBottom w:val="0"/>
      <w:divBdr>
        <w:top w:val="none" w:sz="0" w:space="0" w:color="auto"/>
        <w:left w:val="none" w:sz="0" w:space="0" w:color="auto"/>
        <w:bottom w:val="none" w:sz="0" w:space="0" w:color="auto"/>
        <w:right w:val="none" w:sz="0" w:space="0" w:color="auto"/>
      </w:divBdr>
    </w:div>
    <w:div w:id="11773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s.com/content/tcs/global/en/what-we-do/industries/energy-resources-utilities/white-paper/uk-utilities-transition-clean-energy-sustainable-future?utm_source=chatgpt.com" TargetMode="External"/><Relationship Id="rId13" Type="http://schemas.openxmlformats.org/officeDocument/2006/relationships/hyperlink" Target="https://orsted.com/en/what-we-do/insights/white-papers/green-transformation-lessons-learned?utm_source=chatgpt.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publications/energy-white-paper-powering-our-net-zero-future?utm_source=chatgpt.com" TargetMode="External"/><Relationship Id="rId12" Type="http://schemas.openxmlformats.org/officeDocument/2006/relationships/hyperlink" Target="https://www.eaton.com/content/dam/eaton/digital/eaton-brightlayer-utilities-research-report-2023-white-papers-en-us.pdf?utm_source=chatgp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ton.com/content/dam/eaton/digital/eaton-brightlayer-utilities-research-report-2023-white-papers-en-us.pdf?utm_source=chatgp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echuk.org/resource/new-techuk-whitepaper-highlights-the-power-of-digital-twins-in-the-energy-sector.html?utm_source=chatgpt.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techuk.org/resource/new-techuk-whitepaper-highlights-the-power-of-digital-twins-in-the-energy-sector.html?utm_source=chatgpt.com" TargetMode="External"/><Relationship Id="rId14" Type="http://schemas.openxmlformats.org/officeDocument/2006/relationships/hyperlink" Target="https://orsted.com/en/what-we-do/insights/white-papers/green-transformation-lessons-learned?utm_source=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1378CFEA90F4E9E7592A51837E73F" ma:contentTypeVersion="13" ma:contentTypeDescription="Create a new document." ma:contentTypeScope="" ma:versionID="b85596e530c3b3c7b00d59d56b8ae3cd">
  <xsd:schema xmlns:xsd="http://www.w3.org/2001/XMLSchema" xmlns:xs="http://www.w3.org/2001/XMLSchema" xmlns:p="http://schemas.microsoft.com/office/2006/metadata/properties" xmlns:ns2="e2215168-83d6-4acb-9ca9-51d9063d84b7" xmlns:ns3="2bd1f061-722f-45f3-ba4e-535a9b2ca3f9" targetNamespace="http://schemas.microsoft.com/office/2006/metadata/properties" ma:root="true" ma:fieldsID="841c0be46ea9e6ba00c43286434808af" ns2:_="" ns3:_="">
    <xsd:import namespace="e2215168-83d6-4acb-9ca9-51d9063d84b7"/>
    <xsd:import namespace="2bd1f061-722f-45f3-ba4e-535a9b2ca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15168-83d6-4acb-9ca9-51d9063d8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cc5acd-d7e8-492b-a9f8-5c75d95ff4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1f061-722f-45f3-ba4e-535a9b2ca3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677a2-764a-4904-a948-2d9b13b9a438}" ma:internalName="TaxCatchAll" ma:showField="CatchAllData" ma:web="2bd1f061-722f-45f3-ba4e-535a9b2ca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d1f061-722f-45f3-ba4e-535a9b2ca3f9" xsi:nil="true"/>
    <lcf76f155ced4ddcb4097134ff3c332f xmlns="e2215168-83d6-4acb-9ca9-51d9063d8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EFFC1D-503B-468F-BAEF-131E6B496FD4}"/>
</file>

<file path=customXml/itemProps2.xml><?xml version="1.0" encoding="utf-8"?>
<ds:datastoreItem xmlns:ds="http://schemas.openxmlformats.org/officeDocument/2006/customXml" ds:itemID="{70F1511B-0283-460A-ABA0-B307B3BFD524}"/>
</file>

<file path=customXml/itemProps3.xml><?xml version="1.0" encoding="utf-8"?>
<ds:datastoreItem xmlns:ds="http://schemas.openxmlformats.org/officeDocument/2006/customXml" ds:itemID="{8385C698-AC42-43C7-874F-EAAF7E89D260}"/>
</file>

<file path=docProps/app.xml><?xml version="1.0" encoding="utf-8"?>
<Properties xmlns="http://schemas.openxmlformats.org/officeDocument/2006/extended-properties" xmlns:vt="http://schemas.openxmlformats.org/officeDocument/2006/docPropsVTypes">
  <Template>Normal.dotm</Template>
  <TotalTime>8</TotalTime>
  <Pages>4</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Summers</dc:creator>
  <cp:keywords/>
  <dc:description/>
  <cp:lastModifiedBy>Juliet Summers</cp:lastModifiedBy>
  <cp:revision>9</cp:revision>
  <dcterms:created xsi:type="dcterms:W3CDTF">2025-05-28T17:54:00Z</dcterms:created>
  <dcterms:modified xsi:type="dcterms:W3CDTF">2025-06-05T10:51:00Z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0x01010028D1378CFEA90F4E9E7592A51837E73F</vt:lpwstr>
  </property>
</Properties>
</file>